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AB34" w14:textId="77777777" w:rsidR="001A716B" w:rsidRDefault="001A716B"/>
    <w:p w14:paraId="0AE8CCB9" w14:textId="77777777" w:rsidR="001A716B" w:rsidRPr="001A716B" w:rsidRDefault="002C6B42" w:rsidP="001A716B">
      <w:r>
        <w:t xml:space="preserve">                                               </w:t>
      </w:r>
    </w:p>
    <w:p w14:paraId="20029F17" w14:textId="760B80EB" w:rsidR="002C6B42" w:rsidRPr="00936E4D" w:rsidRDefault="002C6B42" w:rsidP="002C6B42">
      <w:pPr>
        <w:rPr>
          <w:rFonts w:ascii="Arial" w:hAnsi="Arial" w:cs="Arial"/>
          <w:b/>
          <w:sz w:val="22"/>
          <w:szCs w:val="22"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</w:t>
      </w:r>
      <w:r w:rsidRPr="00936E4D">
        <w:rPr>
          <w:rFonts w:ascii="Arial" w:hAnsi="Arial" w:cs="Arial"/>
          <w:b/>
          <w:sz w:val="22"/>
          <w:szCs w:val="22"/>
        </w:rPr>
        <w:t xml:space="preserve">Załącznik nr </w:t>
      </w:r>
      <w:r w:rsidR="00D740F0">
        <w:rPr>
          <w:rFonts w:ascii="Arial" w:hAnsi="Arial" w:cs="Arial"/>
          <w:b/>
          <w:sz w:val="22"/>
          <w:szCs w:val="22"/>
        </w:rPr>
        <w:t>1</w:t>
      </w:r>
      <w:r w:rsidR="001E720A">
        <w:rPr>
          <w:rFonts w:ascii="Arial" w:hAnsi="Arial" w:cs="Arial"/>
          <w:b/>
          <w:sz w:val="22"/>
          <w:szCs w:val="22"/>
        </w:rPr>
        <w:t xml:space="preserve"> do Zapytania ofertowego</w:t>
      </w:r>
    </w:p>
    <w:p w14:paraId="7AC55310" w14:textId="77777777" w:rsidR="00936E4D" w:rsidRPr="003E38F8" w:rsidRDefault="00936E4D" w:rsidP="002C6B42">
      <w:pPr>
        <w:rPr>
          <w:rFonts w:ascii="Calibri" w:hAnsi="Calibri" w:cs="Calibri"/>
          <w:b/>
        </w:rPr>
      </w:pPr>
    </w:p>
    <w:p w14:paraId="0889BE97" w14:textId="5F44C39D" w:rsidR="002C6B42" w:rsidRPr="00F27B8F" w:rsidRDefault="002C6B42" w:rsidP="002C6B42">
      <w:pPr>
        <w:rPr>
          <w:rFonts w:ascii="Arial" w:hAnsi="Arial" w:cs="Arial"/>
          <w:bCs/>
        </w:rPr>
      </w:pPr>
      <w:r>
        <w:rPr>
          <w:rFonts w:ascii="Calibri" w:hAnsi="Calibri" w:cs="Calibri"/>
          <w:b/>
        </w:rPr>
        <w:t xml:space="preserve"> </w:t>
      </w:r>
      <w:r w:rsidRPr="00F27B8F">
        <w:rPr>
          <w:rFonts w:ascii="Arial" w:hAnsi="Arial" w:cs="Arial"/>
          <w:bCs/>
        </w:rPr>
        <w:t>Znak sprawy WSPL-DL.261</w:t>
      </w:r>
      <w:r w:rsidR="00333D8D" w:rsidRPr="00F27B8F">
        <w:rPr>
          <w:rFonts w:ascii="Arial" w:hAnsi="Arial" w:cs="Arial"/>
          <w:bCs/>
        </w:rPr>
        <w:t>3</w:t>
      </w:r>
      <w:r w:rsidR="00494738" w:rsidRPr="00F27B8F">
        <w:rPr>
          <w:rFonts w:ascii="Arial" w:hAnsi="Arial" w:cs="Arial"/>
          <w:bCs/>
        </w:rPr>
        <w:t>.</w:t>
      </w:r>
      <w:r w:rsidR="00C768A2">
        <w:rPr>
          <w:rFonts w:ascii="Arial" w:hAnsi="Arial" w:cs="Arial"/>
          <w:bCs/>
        </w:rPr>
        <w:t>2</w:t>
      </w:r>
      <w:r w:rsidR="000F6DE9" w:rsidRPr="00F27B8F">
        <w:rPr>
          <w:rFonts w:ascii="Arial" w:hAnsi="Arial" w:cs="Arial"/>
          <w:bCs/>
        </w:rPr>
        <w:t>.</w:t>
      </w:r>
      <w:r w:rsidRPr="00F27B8F">
        <w:rPr>
          <w:rFonts w:ascii="Arial" w:hAnsi="Arial" w:cs="Arial"/>
          <w:bCs/>
        </w:rPr>
        <w:t>202</w:t>
      </w:r>
      <w:r w:rsidR="0038131A">
        <w:rPr>
          <w:rFonts w:ascii="Arial" w:hAnsi="Arial" w:cs="Arial"/>
          <w:bCs/>
        </w:rPr>
        <w:t>3</w:t>
      </w:r>
    </w:p>
    <w:p w14:paraId="27614BA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5A9FD9E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177280B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1347FF85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C225CC5" w14:textId="77777777" w:rsidR="002C6B42" w:rsidRDefault="002C6B42" w:rsidP="002C6B42">
      <w:pPr>
        <w:jc w:val="center"/>
        <w:rPr>
          <w:rFonts w:ascii="Calibri" w:hAnsi="Calibri" w:cs="Calibri"/>
          <w:b/>
          <w:u w:val="single"/>
        </w:rPr>
      </w:pPr>
    </w:p>
    <w:p w14:paraId="5D4DC808" w14:textId="02E48923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  <w:r w:rsidRPr="00471055">
        <w:rPr>
          <w:rFonts w:ascii="Arial" w:hAnsi="Arial" w:cs="Arial"/>
          <w:b/>
          <w:sz w:val="22"/>
          <w:szCs w:val="22"/>
        </w:rPr>
        <w:t xml:space="preserve">Specyfikacja </w:t>
      </w:r>
      <w:r w:rsidR="000F6DE9">
        <w:rPr>
          <w:rFonts w:ascii="Arial" w:hAnsi="Arial" w:cs="Arial"/>
          <w:b/>
          <w:sz w:val="22"/>
          <w:szCs w:val="22"/>
        </w:rPr>
        <w:t>dla testów panelowych</w:t>
      </w:r>
      <w:r w:rsidRPr="00471055">
        <w:rPr>
          <w:rFonts w:ascii="Arial" w:hAnsi="Arial" w:cs="Arial"/>
          <w:b/>
          <w:sz w:val="22"/>
          <w:szCs w:val="22"/>
        </w:rPr>
        <w:t>.</w:t>
      </w:r>
    </w:p>
    <w:p w14:paraId="0BFFCC47" w14:textId="77777777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</w:p>
    <w:p w14:paraId="3F424483" w14:textId="6613A81D" w:rsidR="00471055" w:rsidRDefault="00471055" w:rsidP="002C6B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Niespełnienie co najmniej jednego z postawionych poniżej wymagań co do ich wartości minimalnych spowoduje odrzucenie oferty.</w:t>
      </w:r>
    </w:p>
    <w:p w14:paraId="1B254564" w14:textId="1AB4D6AE" w:rsidR="00471055" w:rsidRPr="00471055" w:rsidRDefault="00471055" w:rsidP="002C6B42">
      <w:pPr>
        <w:rPr>
          <w:rFonts w:ascii="Arial" w:hAnsi="Arial" w:cs="Arial"/>
          <w:sz w:val="22"/>
          <w:szCs w:val="22"/>
        </w:rPr>
      </w:pPr>
      <w:r w:rsidRPr="00471055">
        <w:rPr>
          <w:rFonts w:ascii="Arial" w:hAnsi="Arial" w:cs="Arial"/>
          <w:b/>
          <w:bCs/>
          <w:sz w:val="22"/>
          <w:szCs w:val="22"/>
        </w:rPr>
        <w:t xml:space="preserve">Kolumnę </w:t>
      </w:r>
      <w:r w:rsidR="00A728F3">
        <w:rPr>
          <w:rFonts w:ascii="Arial" w:hAnsi="Arial" w:cs="Arial"/>
          <w:b/>
          <w:bCs/>
          <w:sz w:val="22"/>
          <w:szCs w:val="22"/>
        </w:rPr>
        <w:t>3</w:t>
      </w:r>
      <w:r w:rsidRPr="00471055">
        <w:rPr>
          <w:rFonts w:ascii="Arial" w:hAnsi="Arial" w:cs="Arial"/>
          <w:b/>
          <w:bCs/>
          <w:sz w:val="22"/>
          <w:szCs w:val="22"/>
        </w:rPr>
        <w:t xml:space="preserve"> wypełnia Wykonawca</w:t>
      </w:r>
      <w:r>
        <w:rPr>
          <w:rFonts w:ascii="Arial" w:hAnsi="Arial" w:cs="Arial"/>
          <w:sz w:val="22"/>
          <w:szCs w:val="22"/>
        </w:rPr>
        <w:t>.</w:t>
      </w:r>
    </w:p>
    <w:p w14:paraId="4E7AC15E" w14:textId="77777777" w:rsidR="001A716B" w:rsidRPr="001A716B" w:rsidRDefault="001A716B" w:rsidP="001A716B"/>
    <w:p w14:paraId="56590857" w14:textId="77777777" w:rsidR="001A716B" w:rsidRPr="001A716B" w:rsidRDefault="001A716B" w:rsidP="001A716B"/>
    <w:p w14:paraId="30A1DF9A" w14:textId="77777777" w:rsidR="001A716B" w:rsidRDefault="001A716B" w:rsidP="001A716B"/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6568"/>
        <w:gridCol w:w="1984"/>
      </w:tblGrid>
      <w:tr w:rsidR="00F61254" w:rsidRPr="00BA7380" w14:paraId="721F85BF" w14:textId="77777777" w:rsidTr="00F61254">
        <w:tc>
          <w:tcPr>
            <w:tcW w:w="587" w:type="dxa"/>
            <w:vAlign w:val="center"/>
          </w:tcPr>
          <w:p w14:paraId="017D5361" w14:textId="77777777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68" w:type="dxa"/>
            <w:vAlign w:val="center"/>
          </w:tcPr>
          <w:p w14:paraId="3FF46FED" w14:textId="286B8B38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PIS PARAMETR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ÓW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WYMAGANY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CH</w:t>
            </w:r>
          </w:p>
        </w:tc>
        <w:tc>
          <w:tcPr>
            <w:tcW w:w="1984" w:type="dxa"/>
            <w:vAlign w:val="center"/>
          </w:tcPr>
          <w:p w14:paraId="5AF13232" w14:textId="0CA5CDB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Odpowiedź Wykonawcy- TAK/NIE </w:t>
            </w:r>
          </w:p>
        </w:tc>
      </w:tr>
      <w:tr w:rsidR="00F61254" w:rsidRPr="00BA7380" w14:paraId="0CF6E194" w14:textId="77777777" w:rsidTr="00F61254">
        <w:tc>
          <w:tcPr>
            <w:tcW w:w="587" w:type="dxa"/>
            <w:vAlign w:val="center"/>
          </w:tcPr>
          <w:p w14:paraId="594427FF" w14:textId="0A8662E4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26BF460B" w14:textId="608C7E85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FB1A43E" w14:textId="12744BA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F61254" w:rsidRPr="00BA7380" w14:paraId="12C1E2C4" w14:textId="77777777" w:rsidTr="00F61254">
        <w:tc>
          <w:tcPr>
            <w:tcW w:w="587" w:type="dxa"/>
            <w:vAlign w:val="center"/>
          </w:tcPr>
          <w:p w14:paraId="7E1CEEC3" w14:textId="30EB84D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3700A347" w14:textId="56478EA2" w:rsidR="00F61254" w:rsidRPr="00A728F3" w:rsidRDefault="00F61254" w:rsidP="00F612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28F3">
              <w:rPr>
                <w:rFonts w:ascii="Arial" w:hAnsi="Arial" w:cs="Arial"/>
              </w:rPr>
              <w:t>Testy paskowe- jeden pasek testowy przeznaczony na  jednego pacjenta</w:t>
            </w:r>
          </w:p>
        </w:tc>
        <w:tc>
          <w:tcPr>
            <w:tcW w:w="1984" w:type="dxa"/>
            <w:vAlign w:val="center"/>
          </w:tcPr>
          <w:p w14:paraId="35A4EA6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031988F" w14:textId="77777777" w:rsidTr="00F61254">
        <w:tc>
          <w:tcPr>
            <w:tcW w:w="587" w:type="dxa"/>
            <w:vAlign w:val="center"/>
          </w:tcPr>
          <w:p w14:paraId="58E5D44D" w14:textId="5654E0B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568" w:type="dxa"/>
          </w:tcPr>
          <w:p w14:paraId="040E6FE8" w14:textId="7AA257D8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Minimum trzy linie standardowe (wartości niskie, średnie i wysokie) umożliwiające wykreślenie krzywej kalibracyjnej w czasie rzeczywistym do wykonania testu z uwzględnieniem tła- naniesione  na każdy pasek testowy</w:t>
            </w:r>
          </w:p>
        </w:tc>
        <w:tc>
          <w:tcPr>
            <w:tcW w:w="1984" w:type="dxa"/>
            <w:vAlign w:val="center"/>
          </w:tcPr>
          <w:p w14:paraId="31AD4B61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6AC7EF" w14:textId="77777777" w:rsidTr="00F61254">
        <w:tc>
          <w:tcPr>
            <w:tcW w:w="587" w:type="dxa"/>
            <w:vAlign w:val="center"/>
          </w:tcPr>
          <w:p w14:paraId="31328067" w14:textId="113E83F6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6568" w:type="dxa"/>
            <w:vAlign w:val="center"/>
          </w:tcPr>
          <w:p w14:paraId="7974C894" w14:textId="6ABC030B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Odczynniki z zastosowaniem przeciwciał monoklonalnych</w:t>
            </w:r>
          </w:p>
        </w:tc>
        <w:tc>
          <w:tcPr>
            <w:tcW w:w="1984" w:type="dxa"/>
            <w:vAlign w:val="center"/>
          </w:tcPr>
          <w:p w14:paraId="7CE092C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1785C869" w14:textId="77777777" w:rsidTr="00F61254">
        <w:tc>
          <w:tcPr>
            <w:tcW w:w="587" w:type="dxa"/>
            <w:vAlign w:val="center"/>
          </w:tcPr>
          <w:p w14:paraId="4C9C86B0" w14:textId="26592AEB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6568" w:type="dxa"/>
            <w:vAlign w:val="center"/>
          </w:tcPr>
          <w:p w14:paraId="2BE7E6F4" w14:textId="568CAA5E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 standardach ludzkie IgE</w:t>
            </w:r>
          </w:p>
        </w:tc>
        <w:tc>
          <w:tcPr>
            <w:tcW w:w="1984" w:type="dxa"/>
            <w:vAlign w:val="center"/>
          </w:tcPr>
          <w:p w14:paraId="1879E65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72DB518" w14:textId="77777777" w:rsidTr="00F61254">
        <w:tc>
          <w:tcPr>
            <w:tcW w:w="587" w:type="dxa"/>
            <w:vAlign w:val="center"/>
          </w:tcPr>
          <w:p w14:paraId="6BE38EE8" w14:textId="45D035D7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6568" w:type="dxa"/>
            <w:vAlign w:val="center"/>
          </w:tcPr>
          <w:p w14:paraId="13EE5C5C" w14:textId="6D70C4F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Potwierdzony brak reakcji krzyżowych z IgG, IgA, IgM i IgD</w:t>
            </w:r>
          </w:p>
        </w:tc>
        <w:tc>
          <w:tcPr>
            <w:tcW w:w="1984" w:type="dxa"/>
            <w:vAlign w:val="center"/>
          </w:tcPr>
          <w:p w14:paraId="282B7B8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FCDF5EF" w14:textId="77777777" w:rsidTr="00F61254">
        <w:tc>
          <w:tcPr>
            <w:tcW w:w="587" w:type="dxa"/>
            <w:vAlign w:val="center"/>
          </w:tcPr>
          <w:p w14:paraId="6D78BD5A" w14:textId="5FAE42F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6568" w:type="dxa"/>
            <w:vAlign w:val="center"/>
          </w:tcPr>
          <w:p w14:paraId="424DAB7F" w14:textId="77777777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Wyniki swoistych IgE dla każdego alergenu w panelu oceniany indywidualnie: podana jest klasa</w:t>
            </w:r>
          </w:p>
          <w:p w14:paraId="4C051B1C" w14:textId="1286D089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(od 0 do 6) oraz wynik liczbowy wyrażony w jednostkach międzynarodowych. Wynik przedstawiony jest graficznie.</w:t>
            </w:r>
          </w:p>
        </w:tc>
        <w:tc>
          <w:tcPr>
            <w:tcW w:w="1984" w:type="dxa"/>
            <w:vAlign w:val="center"/>
          </w:tcPr>
          <w:p w14:paraId="0FDB6C1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2A2BEF0" w14:textId="77777777" w:rsidTr="00F61254">
        <w:tc>
          <w:tcPr>
            <w:tcW w:w="587" w:type="dxa"/>
            <w:vAlign w:val="center"/>
          </w:tcPr>
          <w:p w14:paraId="4A6B3A54" w14:textId="3B4C9B22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6568" w:type="dxa"/>
            <w:vAlign w:val="center"/>
          </w:tcPr>
          <w:p w14:paraId="0EA9765F" w14:textId="2A454B30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objętość nierozcieńczonej surowicy na jedno badanie – maksymalnie 200µl</w:t>
            </w:r>
          </w:p>
        </w:tc>
        <w:tc>
          <w:tcPr>
            <w:tcW w:w="1984" w:type="dxa"/>
            <w:vAlign w:val="center"/>
          </w:tcPr>
          <w:p w14:paraId="1B0BE6D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289862F" w14:textId="77777777" w:rsidTr="00F61254">
        <w:tc>
          <w:tcPr>
            <w:tcW w:w="587" w:type="dxa"/>
            <w:vAlign w:val="center"/>
          </w:tcPr>
          <w:p w14:paraId="4935E800" w14:textId="04E83C2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6568" w:type="dxa"/>
            <w:vAlign w:val="center"/>
          </w:tcPr>
          <w:p w14:paraId="3412370B" w14:textId="529AF90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Metoda nie może wymagać dodatkowej ingerencji przy badanej próbce (np. rozcieńczania surowicy)</w:t>
            </w:r>
          </w:p>
        </w:tc>
        <w:tc>
          <w:tcPr>
            <w:tcW w:w="1984" w:type="dxa"/>
            <w:vAlign w:val="center"/>
          </w:tcPr>
          <w:p w14:paraId="754CE8BD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3C7E374" w14:textId="77777777" w:rsidTr="00F61254">
        <w:tc>
          <w:tcPr>
            <w:tcW w:w="587" w:type="dxa"/>
            <w:vAlign w:val="center"/>
          </w:tcPr>
          <w:p w14:paraId="3C116BCC" w14:textId="5C592F2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6568" w:type="dxa"/>
            <w:vAlign w:val="center"/>
          </w:tcPr>
          <w:p w14:paraId="03614868" w14:textId="467DB68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dolna granica wykrywalności od 0,15kU/L</w:t>
            </w:r>
          </w:p>
        </w:tc>
        <w:tc>
          <w:tcPr>
            <w:tcW w:w="1984" w:type="dxa"/>
            <w:vAlign w:val="center"/>
          </w:tcPr>
          <w:p w14:paraId="5680BC6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58EEA90" w14:textId="77777777" w:rsidTr="00F61254">
        <w:tc>
          <w:tcPr>
            <w:tcW w:w="587" w:type="dxa"/>
            <w:vAlign w:val="center"/>
          </w:tcPr>
          <w:p w14:paraId="09BEE73B" w14:textId="0C0ECBFA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6568" w:type="dxa"/>
            <w:vAlign w:val="center"/>
          </w:tcPr>
          <w:p w14:paraId="7BB97156" w14:textId="6D2C54B5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Czas wykonania badania – do 3 godzin</w:t>
            </w:r>
          </w:p>
        </w:tc>
        <w:tc>
          <w:tcPr>
            <w:tcW w:w="1984" w:type="dxa"/>
            <w:vAlign w:val="center"/>
          </w:tcPr>
          <w:p w14:paraId="143DE53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C30ABC" w14:textId="77777777" w:rsidTr="00F61254">
        <w:tc>
          <w:tcPr>
            <w:tcW w:w="587" w:type="dxa"/>
            <w:vAlign w:val="center"/>
          </w:tcPr>
          <w:p w14:paraId="117BC9D2" w14:textId="45CAC8A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6568" w:type="dxa"/>
            <w:vAlign w:val="center"/>
          </w:tcPr>
          <w:p w14:paraId="54FA3902" w14:textId="33DD336D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Zestaw odczynnikowy powinien zawierać wszelkie odczynniki niezbędne do wykonania badań i inkubacji</w:t>
            </w:r>
          </w:p>
        </w:tc>
        <w:tc>
          <w:tcPr>
            <w:tcW w:w="1984" w:type="dxa"/>
            <w:vAlign w:val="center"/>
          </w:tcPr>
          <w:p w14:paraId="1E69D2A7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711A60AC" w14:textId="77777777" w:rsidTr="00F61254">
        <w:tc>
          <w:tcPr>
            <w:tcW w:w="587" w:type="dxa"/>
            <w:vAlign w:val="center"/>
          </w:tcPr>
          <w:p w14:paraId="289F9C61" w14:textId="39816394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6568" w:type="dxa"/>
            <w:vAlign w:val="center"/>
          </w:tcPr>
          <w:p w14:paraId="0E3EF707" w14:textId="59A13BD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Wszystkie odczynniki gotowe do bezpośredniego użycia (dopuszcza się możliwość przygotowania buforu płuczącego – rozpuszczenie lub rozcieńczenie)</w:t>
            </w:r>
          </w:p>
        </w:tc>
        <w:tc>
          <w:tcPr>
            <w:tcW w:w="1984" w:type="dxa"/>
            <w:vAlign w:val="center"/>
          </w:tcPr>
          <w:p w14:paraId="20978D7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836FBE" w14:textId="77777777" w:rsidTr="00F61254">
        <w:tc>
          <w:tcPr>
            <w:tcW w:w="587" w:type="dxa"/>
            <w:vAlign w:val="center"/>
          </w:tcPr>
          <w:p w14:paraId="2AE13983" w14:textId="328FBDC0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6568" w:type="dxa"/>
            <w:vAlign w:val="center"/>
          </w:tcPr>
          <w:p w14:paraId="1D6811EF" w14:textId="292912BF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Trwałość buforu płuczącego po przygotowaniu – minimum 30 dni</w:t>
            </w:r>
          </w:p>
        </w:tc>
        <w:tc>
          <w:tcPr>
            <w:tcW w:w="1984" w:type="dxa"/>
            <w:vAlign w:val="center"/>
          </w:tcPr>
          <w:p w14:paraId="3C84D24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98734E5" w14:textId="77777777" w:rsidTr="00F61254">
        <w:tc>
          <w:tcPr>
            <w:tcW w:w="587" w:type="dxa"/>
            <w:vAlign w:val="center"/>
          </w:tcPr>
          <w:p w14:paraId="5581A41F" w14:textId="79E4CA2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6568" w:type="dxa"/>
            <w:vAlign w:val="center"/>
          </w:tcPr>
          <w:p w14:paraId="69822CB9" w14:textId="421A5FB8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Cały proces badania odbywa się w temperaturze pokojowej (od 18 do 24◦C) bez konieczności zamian warunków metodologicznych (np. zmiany długości czasu inkubacji dla poszczególnych odczynników) w tym zakresie temperatury</w:t>
            </w:r>
          </w:p>
        </w:tc>
        <w:tc>
          <w:tcPr>
            <w:tcW w:w="1984" w:type="dxa"/>
            <w:vAlign w:val="center"/>
          </w:tcPr>
          <w:p w14:paraId="41FAB1E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53A42F6" w14:textId="77777777" w:rsidTr="00F61254">
        <w:tc>
          <w:tcPr>
            <w:tcW w:w="587" w:type="dxa"/>
            <w:vAlign w:val="center"/>
          </w:tcPr>
          <w:p w14:paraId="3B46BA9C" w14:textId="2D72B604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6568" w:type="dxa"/>
            <w:vAlign w:val="center"/>
          </w:tcPr>
          <w:p w14:paraId="0A962FCB" w14:textId="77777777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Nitrocelulozowa membrana testu trwale umieszczona w komorze przez producenta – umożliwia</w:t>
            </w:r>
          </w:p>
          <w:p w14:paraId="2371C83E" w14:textId="2D313429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Wykonanie badania  i odczyt wyniku bez konieczności przenoszenia jej w trakcie trwania procedury</w:t>
            </w:r>
          </w:p>
        </w:tc>
        <w:tc>
          <w:tcPr>
            <w:tcW w:w="1984" w:type="dxa"/>
            <w:vAlign w:val="center"/>
          </w:tcPr>
          <w:p w14:paraId="5F1BB6A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C59C1BE" w14:textId="77777777" w:rsidTr="00F61254">
        <w:tc>
          <w:tcPr>
            <w:tcW w:w="587" w:type="dxa"/>
            <w:vAlign w:val="center"/>
          </w:tcPr>
          <w:p w14:paraId="548AA84F" w14:textId="15FD6D1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6568" w:type="dxa"/>
            <w:vAlign w:val="center"/>
          </w:tcPr>
          <w:p w14:paraId="6667C067" w14:textId="5BD8DC39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jest, aby testy były kalibrowane indywidualnie (dopuszcza się kalibrację co 28 dni)</w:t>
            </w:r>
          </w:p>
        </w:tc>
        <w:tc>
          <w:tcPr>
            <w:tcW w:w="1984" w:type="dxa"/>
            <w:vAlign w:val="center"/>
          </w:tcPr>
          <w:p w14:paraId="354D2A3A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309BD25" w14:textId="77777777" w:rsidTr="00F61254">
        <w:tc>
          <w:tcPr>
            <w:tcW w:w="587" w:type="dxa"/>
            <w:vAlign w:val="center"/>
          </w:tcPr>
          <w:p w14:paraId="335F67D5" w14:textId="358EFF19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6568" w:type="dxa"/>
            <w:vAlign w:val="center"/>
          </w:tcPr>
          <w:p w14:paraId="6E1F23DA" w14:textId="79BEDE4D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Kalibratory służące do wykreślenia krzywej kalibracyjnej, z ludzkim IgE, o znanym stężeniu (kU/L), podanym przez producenta, zawarte w każdym teście lub zapewnione nieodpłatnie przez wykonawcę co 28 dni</w:t>
            </w:r>
          </w:p>
        </w:tc>
        <w:tc>
          <w:tcPr>
            <w:tcW w:w="1984" w:type="dxa"/>
            <w:vAlign w:val="center"/>
          </w:tcPr>
          <w:p w14:paraId="3BAF66D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02A300" w14:textId="77777777" w:rsidTr="00F61254">
        <w:tc>
          <w:tcPr>
            <w:tcW w:w="587" w:type="dxa"/>
            <w:vAlign w:val="center"/>
          </w:tcPr>
          <w:p w14:paraId="1006C56D" w14:textId="4667C8E2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6568" w:type="dxa"/>
            <w:vAlign w:val="center"/>
          </w:tcPr>
          <w:p w14:paraId="6ED091C1" w14:textId="3889F38C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Możliwość podglądu i archiwizacji krzywej kalibracyjnej</w:t>
            </w:r>
          </w:p>
        </w:tc>
        <w:tc>
          <w:tcPr>
            <w:tcW w:w="1984" w:type="dxa"/>
            <w:vAlign w:val="center"/>
          </w:tcPr>
          <w:p w14:paraId="52748AEE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2E8B379" w14:textId="77777777" w:rsidTr="00F61254">
        <w:tc>
          <w:tcPr>
            <w:tcW w:w="587" w:type="dxa"/>
            <w:vAlign w:val="center"/>
          </w:tcPr>
          <w:p w14:paraId="53E4EA32" w14:textId="06AE66CA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6568" w:type="dxa"/>
            <w:vAlign w:val="center"/>
          </w:tcPr>
          <w:p w14:paraId="0FF9604D" w14:textId="4D9E87A5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Termin ważności odczynników – minimum 10 miesięcy liczony od dnia dostawy</w:t>
            </w:r>
          </w:p>
        </w:tc>
        <w:tc>
          <w:tcPr>
            <w:tcW w:w="1984" w:type="dxa"/>
            <w:vAlign w:val="center"/>
          </w:tcPr>
          <w:p w14:paraId="6CF01F2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F4EB740" w14:textId="77777777" w:rsidTr="00F61254">
        <w:tc>
          <w:tcPr>
            <w:tcW w:w="587" w:type="dxa"/>
            <w:vAlign w:val="center"/>
          </w:tcPr>
          <w:p w14:paraId="48EDFF85" w14:textId="753A9310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6568" w:type="dxa"/>
            <w:vAlign w:val="center"/>
          </w:tcPr>
          <w:p w14:paraId="6D707365" w14:textId="4ADB923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Szkolenie personelu przeprowadzone w siedzibie zamawiającego – w ramach ceny oferty </w:t>
            </w:r>
          </w:p>
        </w:tc>
        <w:tc>
          <w:tcPr>
            <w:tcW w:w="1984" w:type="dxa"/>
            <w:vAlign w:val="center"/>
          </w:tcPr>
          <w:p w14:paraId="0E07E0F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6CC4381" w14:textId="77777777" w:rsidTr="00F61254">
        <w:tc>
          <w:tcPr>
            <w:tcW w:w="587" w:type="dxa"/>
            <w:vAlign w:val="center"/>
          </w:tcPr>
          <w:p w14:paraId="21909025" w14:textId="30A114F1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6568" w:type="dxa"/>
            <w:vAlign w:val="center"/>
          </w:tcPr>
          <w:p w14:paraId="41F69D3B" w14:textId="62B33BBA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 dostarczanie niezbędnego sprzętu do manualnego wykonania badania, odczytu i raportowania wyników – w ramach ceny oferty</w:t>
            </w:r>
          </w:p>
        </w:tc>
        <w:tc>
          <w:tcPr>
            <w:tcW w:w="1984" w:type="dxa"/>
            <w:vAlign w:val="center"/>
          </w:tcPr>
          <w:p w14:paraId="2CFAA658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4008481" w14:textId="77777777" w:rsidTr="00F61254">
        <w:tc>
          <w:tcPr>
            <w:tcW w:w="587" w:type="dxa"/>
            <w:vAlign w:val="center"/>
          </w:tcPr>
          <w:p w14:paraId="49984AC5" w14:textId="43E3BE7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6568" w:type="dxa"/>
            <w:vAlign w:val="center"/>
          </w:tcPr>
          <w:p w14:paraId="72794FDD" w14:textId="09CED2E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Program do odczytywania i interpretacji testów oraz jego aktualizacja – w ramach ceny oferty (płyta CD lub DVD)</w:t>
            </w:r>
          </w:p>
        </w:tc>
        <w:tc>
          <w:tcPr>
            <w:tcW w:w="1984" w:type="dxa"/>
            <w:vAlign w:val="center"/>
          </w:tcPr>
          <w:p w14:paraId="32F9CB7F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74B3DE79" w14:textId="77777777" w:rsidTr="00F61254">
        <w:tc>
          <w:tcPr>
            <w:tcW w:w="587" w:type="dxa"/>
            <w:vAlign w:val="center"/>
          </w:tcPr>
          <w:p w14:paraId="5E01E995" w14:textId="632C6009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6568" w:type="dxa"/>
            <w:vAlign w:val="center"/>
          </w:tcPr>
          <w:p w14:paraId="0A6AE58E" w14:textId="1742D00A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Instrukcje obsługi – wymagany język polski</w:t>
            </w:r>
          </w:p>
        </w:tc>
        <w:tc>
          <w:tcPr>
            <w:tcW w:w="1984" w:type="dxa"/>
            <w:vAlign w:val="center"/>
          </w:tcPr>
          <w:p w14:paraId="41F525B1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5F69F76E" w14:textId="77777777" w:rsidTr="00F61254">
        <w:tc>
          <w:tcPr>
            <w:tcW w:w="587" w:type="dxa"/>
            <w:vAlign w:val="center"/>
          </w:tcPr>
          <w:p w14:paraId="729D48C4" w14:textId="4DDBAFD0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6568" w:type="dxa"/>
            <w:vAlign w:val="center"/>
          </w:tcPr>
          <w:p w14:paraId="16FD88C2" w14:textId="52F32DC8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Język interpretacji, raportowania i archiwizacji wyników badań – wymagany jest język polski</w:t>
            </w:r>
          </w:p>
        </w:tc>
        <w:tc>
          <w:tcPr>
            <w:tcW w:w="1984" w:type="dxa"/>
            <w:vAlign w:val="center"/>
          </w:tcPr>
          <w:p w14:paraId="17743034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22DA278D" w14:textId="77777777" w:rsidTr="00F61254">
        <w:tc>
          <w:tcPr>
            <w:tcW w:w="587" w:type="dxa"/>
            <w:vAlign w:val="center"/>
          </w:tcPr>
          <w:p w14:paraId="118346D5" w14:textId="689DF586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6568" w:type="dxa"/>
            <w:vAlign w:val="center"/>
          </w:tcPr>
          <w:p w14:paraId="74411D7C" w14:textId="2F5C8E93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Obraz każdego paska – zapisany i archiwizowany w programie - możliwość automatycznej identyfikacji panelu</w:t>
            </w:r>
          </w:p>
        </w:tc>
        <w:tc>
          <w:tcPr>
            <w:tcW w:w="1984" w:type="dxa"/>
            <w:vAlign w:val="center"/>
          </w:tcPr>
          <w:p w14:paraId="01152286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6BE37E" w14:textId="77777777" w:rsidR="002C6B42" w:rsidRDefault="002C6B42" w:rsidP="001A716B">
      <w:pPr>
        <w:ind w:firstLine="708"/>
      </w:pPr>
    </w:p>
    <w:p w14:paraId="470360D8" w14:textId="77777777" w:rsidR="002C6B42" w:rsidRDefault="002C6B42" w:rsidP="001A716B">
      <w:pPr>
        <w:ind w:firstLine="708"/>
      </w:pPr>
    </w:p>
    <w:p w14:paraId="67A712E9" w14:textId="77777777" w:rsidR="002C6B42" w:rsidRPr="0092346C" w:rsidRDefault="002C6B42" w:rsidP="002C6B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8C636B">
        <w:rPr>
          <w:rFonts w:ascii="Calibri" w:hAnsi="Calibri" w:cs="Calibri"/>
        </w:rPr>
        <w:t xml:space="preserve">świadczamy, że oferowane powyżej wyspecyfikowane urządzenie jest kompletne i będzie po uruchomieniu gotowe do pracy bez żadnych dodatkowych zakupów i inwestycji (poza </w:t>
      </w:r>
      <w:r>
        <w:rPr>
          <w:rFonts w:ascii="Calibri" w:hAnsi="Calibri" w:cs="Calibri"/>
        </w:rPr>
        <w:t xml:space="preserve">materiałami eksploatacyjnymi). </w:t>
      </w:r>
    </w:p>
    <w:p w14:paraId="0F8D69B0" w14:textId="77777777" w:rsidR="002C6B42" w:rsidRPr="008C636B" w:rsidRDefault="002C6B42" w:rsidP="002C6B42">
      <w:pPr>
        <w:jc w:val="both"/>
        <w:rPr>
          <w:rFonts w:ascii="Calibri" w:hAnsi="Calibri" w:cs="Calibri"/>
        </w:rPr>
      </w:pPr>
    </w:p>
    <w:p w14:paraId="3F1C2DC6" w14:textId="77777777" w:rsidR="002C6B42" w:rsidRPr="008C636B" w:rsidRDefault="002C6B42" w:rsidP="002C6B42">
      <w:pPr>
        <w:jc w:val="both"/>
        <w:rPr>
          <w:rFonts w:ascii="Calibri" w:hAnsi="Calibri" w:cs="Calibri"/>
          <w:i/>
        </w:rPr>
      </w:pPr>
      <w:r w:rsidRPr="008C636B">
        <w:rPr>
          <w:rFonts w:ascii="Calibri" w:hAnsi="Calibri" w:cs="Calibri"/>
        </w:rPr>
        <w:t xml:space="preserve">......................., dnia ........................             </w:t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  <w:t>…..................................................</w:t>
      </w:r>
    </w:p>
    <w:p w14:paraId="3714DE8B" w14:textId="77777777" w:rsidR="002C6B42" w:rsidRPr="008C636B" w:rsidRDefault="002C6B42" w:rsidP="002C6B42">
      <w:pPr>
        <w:pStyle w:val="Tekstprzypisudolnego"/>
        <w:ind w:left="4820" w:firstLine="0"/>
        <w:jc w:val="center"/>
        <w:rPr>
          <w:rFonts w:ascii="Calibri" w:hAnsi="Calibri" w:cs="Calibri"/>
          <w:bCs/>
          <w:i/>
        </w:rPr>
      </w:pPr>
      <w:r w:rsidRPr="008C636B">
        <w:rPr>
          <w:rFonts w:ascii="Calibri" w:hAnsi="Calibri" w:cs="Calibri"/>
          <w:i/>
        </w:rPr>
        <w:t>Podpisy przedstawicieli Wykonawcy</w:t>
      </w:r>
    </w:p>
    <w:p w14:paraId="36AA5DA1" w14:textId="77777777" w:rsidR="002C6B42" w:rsidRPr="0092346C" w:rsidRDefault="002C6B42" w:rsidP="002C6B42">
      <w:pPr>
        <w:ind w:left="4962"/>
        <w:jc w:val="center"/>
        <w:rPr>
          <w:rFonts w:ascii="Calibri" w:hAnsi="Calibri" w:cs="Calibri"/>
        </w:rPr>
      </w:pPr>
      <w:r w:rsidRPr="008C636B">
        <w:rPr>
          <w:rFonts w:ascii="Calibri" w:hAnsi="Calibri" w:cs="Calibri"/>
          <w:bCs/>
          <w:i/>
        </w:rPr>
        <w:t xml:space="preserve">upoważnionych do jego reprezentowania </w:t>
      </w:r>
    </w:p>
    <w:p w14:paraId="40D6A8E1" w14:textId="77777777" w:rsidR="002C6B42" w:rsidRPr="00BA7380" w:rsidRDefault="002C6B42" w:rsidP="002C6B42">
      <w:pPr>
        <w:rPr>
          <w:rFonts w:ascii="Calibri" w:hAnsi="Calibri" w:cs="Calibri"/>
          <w:sz w:val="24"/>
          <w:szCs w:val="24"/>
        </w:rPr>
      </w:pPr>
    </w:p>
    <w:p w14:paraId="06198CD8" w14:textId="77777777" w:rsidR="002C6B42" w:rsidRDefault="002C6B42" w:rsidP="001A716B">
      <w:pPr>
        <w:ind w:firstLine="708"/>
      </w:pPr>
    </w:p>
    <w:p w14:paraId="1D3CEA6D" w14:textId="77777777" w:rsidR="002C6B42" w:rsidRPr="001A716B" w:rsidRDefault="002C6B42" w:rsidP="001A716B">
      <w:pPr>
        <w:ind w:firstLine="708"/>
      </w:pPr>
    </w:p>
    <w:sectPr w:rsidR="002C6B42" w:rsidRPr="001A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C9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37E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1B07"/>
    <w:multiLevelType w:val="hybridMultilevel"/>
    <w:tmpl w:val="AE72E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B4535"/>
    <w:multiLevelType w:val="hybridMultilevel"/>
    <w:tmpl w:val="A3D6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57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776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D525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D12E2"/>
    <w:multiLevelType w:val="hybridMultilevel"/>
    <w:tmpl w:val="FFC25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F4EF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4548D"/>
    <w:multiLevelType w:val="hybridMultilevel"/>
    <w:tmpl w:val="FBB63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907B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E535B"/>
    <w:multiLevelType w:val="hybridMultilevel"/>
    <w:tmpl w:val="F0A6B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07A7"/>
    <w:multiLevelType w:val="hybridMultilevel"/>
    <w:tmpl w:val="68169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6385D"/>
    <w:multiLevelType w:val="hybridMultilevel"/>
    <w:tmpl w:val="FD7C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425489">
    <w:abstractNumId w:val="11"/>
  </w:num>
  <w:num w:numId="2" w16cid:durableId="604118379">
    <w:abstractNumId w:val="11"/>
  </w:num>
  <w:num w:numId="3" w16cid:durableId="929436801">
    <w:abstractNumId w:val="0"/>
  </w:num>
  <w:num w:numId="4" w16cid:durableId="1531214794">
    <w:abstractNumId w:val="8"/>
  </w:num>
  <w:num w:numId="5" w16cid:durableId="1513572759">
    <w:abstractNumId w:val="5"/>
  </w:num>
  <w:num w:numId="6" w16cid:durableId="1471290653">
    <w:abstractNumId w:val="10"/>
  </w:num>
  <w:num w:numId="7" w16cid:durableId="524294327">
    <w:abstractNumId w:val="4"/>
  </w:num>
  <w:num w:numId="8" w16cid:durableId="2048289081">
    <w:abstractNumId w:val="0"/>
  </w:num>
  <w:num w:numId="9" w16cid:durableId="217983531">
    <w:abstractNumId w:val="13"/>
  </w:num>
  <w:num w:numId="10" w16cid:durableId="1491941280">
    <w:abstractNumId w:val="6"/>
  </w:num>
  <w:num w:numId="11" w16cid:durableId="1127972564">
    <w:abstractNumId w:val="1"/>
  </w:num>
  <w:num w:numId="12" w16cid:durableId="1333027428">
    <w:abstractNumId w:val="2"/>
  </w:num>
  <w:num w:numId="13" w16cid:durableId="1390615894">
    <w:abstractNumId w:val="3"/>
  </w:num>
  <w:num w:numId="14" w16cid:durableId="1349018959">
    <w:abstractNumId w:val="7"/>
  </w:num>
  <w:num w:numId="15" w16cid:durableId="1558543068">
    <w:abstractNumId w:val="9"/>
  </w:num>
  <w:num w:numId="16" w16cid:durableId="5055112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6B"/>
    <w:rsid w:val="00094DC0"/>
    <w:rsid w:val="0009519F"/>
    <w:rsid w:val="000F6DE9"/>
    <w:rsid w:val="00190991"/>
    <w:rsid w:val="001A716B"/>
    <w:rsid w:val="001B2E41"/>
    <w:rsid w:val="001D2858"/>
    <w:rsid w:val="001E300E"/>
    <w:rsid w:val="001E720A"/>
    <w:rsid w:val="002016B0"/>
    <w:rsid w:val="0022107C"/>
    <w:rsid w:val="002C6B42"/>
    <w:rsid w:val="00333D8D"/>
    <w:rsid w:val="0038131A"/>
    <w:rsid w:val="003B1EE8"/>
    <w:rsid w:val="00471055"/>
    <w:rsid w:val="00494738"/>
    <w:rsid w:val="005913F9"/>
    <w:rsid w:val="005B484A"/>
    <w:rsid w:val="00635D3E"/>
    <w:rsid w:val="00664A75"/>
    <w:rsid w:val="006B161B"/>
    <w:rsid w:val="006E12A0"/>
    <w:rsid w:val="006F1DED"/>
    <w:rsid w:val="00786952"/>
    <w:rsid w:val="00936E4D"/>
    <w:rsid w:val="00A728F3"/>
    <w:rsid w:val="00AE63E2"/>
    <w:rsid w:val="00C768A2"/>
    <w:rsid w:val="00D740F0"/>
    <w:rsid w:val="00DB1D23"/>
    <w:rsid w:val="00F27B8F"/>
    <w:rsid w:val="00F6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9905"/>
  <w15:chartTrackingRefBased/>
  <w15:docId w15:val="{FAA74A93-E8B6-4B1D-BEF4-C91EB75B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A716B"/>
    <w:pPr>
      <w:widowControl w:val="0"/>
      <w:suppressLineNumbers/>
      <w:suppressAutoHyphens/>
      <w:ind w:left="283" w:hanging="283"/>
    </w:pPr>
    <w:rPr>
      <w:rFonts w:eastAsia="Lucida Sans Unicode" w:cs="Tahoma"/>
      <w:kern w:val="1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716B"/>
    <w:rPr>
      <w:rFonts w:ascii="Times New Roman" w:eastAsia="Lucida Sans Unicode" w:hAnsi="Times New Roman" w:cs="Tahoma"/>
      <w:kern w:val="1"/>
      <w:sz w:val="20"/>
      <w:szCs w:val="20"/>
      <w:lang w:eastAsia="pl-PL"/>
    </w:rPr>
  </w:style>
  <w:style w:type="paragraph" w:styleId="Bezodstpw">
    <w:name w:val="No Spacing"/>
    <w:basedOn w:val="Normalny"/>
    <w:uiPriority w:val="1"/>
    <w:qFormat/>
    <w:rsid w:val="00333D8D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33D8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913F9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B2E4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HD. Dworzański</dc:creator>
  <cp:keywords/>
  <dc:description/>
  <cp:lastModifiedBy>Krystyna Karaś</cp:lastModifiedBy>
  <cp:revision>18</cp:revision>
  <cp:lastPrinted>2022-11-09T08:44:00Z</cp:lastPrinted>
  <dcterms:created xsi:type="dcterms:W3CDTF">2022-11-07T12:59:00Z</dcterms:created>
  <dcterms:modified xsi:type="dcterms:W3CDTF">2023-06-05T11:43:00Z</dcterms:modified>
</cp:coreProperties>
</file>